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6DB" w:rsidRPr="009E628D" w:rsidRDefault="00E146DB" w:rsidP="00E146DB">
      <w:pPr>
        <w:spacing w:after="120"/>
        <w:jc w:val="center"/>
        <w:rPr>
          <w:rFonts w:eastAsiaTheme="minorHAnsi"/>
          <w:b/>
          <w:color w:val="0070C0"/>
          <w:sz w:val="36"/>
          <w:szCs w:val="36"/>
          <w:lang w:eastAsia="en-GB"/>
        </w:rPr>
      </w:pPr>
      <w:r w:rsidRPr="009E628D">
        <w:rPr>
          <w:rFonts w:eastAsiaTheme="minorHAnsi"/>
          <w:b/>
          <w:color w:val="0070C0"/>
          <w:sz w:val="36"/>
          <w:szCs w:val="36"/>
          <w:lang w:eastAsia="en-GB"/>
        </w:rPr>
        <w:t>ON THE TABLE OF THE IEB</w:t>
      </w:r>
    </w:p>
    <w:p w:rsidR="00E146DB" w:rsidRPr="009E628D" w:rsidRDefault="00E146DB" w:rsidP="00E146DB">
      <w:pPr>
        <w:spacing w:after="120"/>
        <w:rPr>
          <w:color w:val="0070C0"/>
          <w:sz w:val="32"/>
          <w:szCs w:val="32"/>
        </w:rPr>
      </w:pPr>
    </w:p>
    <w:p w:rsidR="00E146DB" w:rsidRPr="00502336" w:rsidRDefault="00E146DB" w:rsidP="00E146DB">
      <w:pPr>
        <w:jc w:val="center"/>
        <w:rPr>
          <w:rFonts w:eastAsia="Times New Roman"/>
          <w:color w:val="0070C0"/>
          <w:sz w:val="32"/>
          <w:szCs w:val="32"/>
        </w:rPr>
      </w:pPr>
      <w:r w:rsidRPr="00502336">
        <w:rPr>
          <w:rFonts w:eastAsia="Times New Roman"/>
          <w:color w:val="0070C0"/>
          <w:sz w:val="32"/>
          <w:szCs w:val="32"/>
        </w:rPr>
        <w:t>‘Citizen Security versus Human Rights in the 21</w:t>
      </w:r>
      <w:r w:rsidRPr="00502336">
        <w:rPr>
          <w:rFonts w:eastAsia="Times New Roman"/>
          <w:color w:val="0070C0"/>
          <w:sz w:val="32"/>
          <w:szCs w:val="32"/>
          <w:vertAlign w:val="superscript"/>
        </w:rPr>
        <w:t>st</w:t>
      </w:r>
      <w:r w:rsidRPr="00502336">
        <w:rPr>
          <w:rFonts w:eastAsia="Times New Roman"/>
          <w:color w:val="0070C0"/>
          <w:sz w:val="32"/>
          <w:szCs w:val="32"/>
        </w:rPr>
        <w:t xml:space="preserve"> Century’:</w:t>
      </w:r>
    </w:p>
    <w:p w:rsidR="00E146DB" w:rsidRPr="00502336" w:rsidRDefault="00E146DB" w:rsidP="00E146DB">
      <w:pPr>
        <w:jc w:val="center"/>
        <w:rPr>
          <w:rFonts w:eastAsiaTheme="minorHAnsi"/>
          <w:i/>
          <w:color w:val="FF0000"/>
        </w:rPr>
      </w:pPr>
      <w:r w:rsidRPr="00502336">
        <w:rPr>
          <w:rFonts w:eastAsia="Times New Roman"/>
          <w:color w:val="0070C0"/>
          <w:sz w:val="32"/>
          <w:szCs w:val="32"/>
        </w:rPr>
        <w:t xml:space="preserve">A critical analysis by PC member Javier </w:t>
      </w:r>
      <w:proofErr w:type="spellStart"/>
      <w:r w:rsidRPr="00502336">
        <w:rPr>
          <w:rFonts w:eastAsia="Times New Roman"/>
          <w:color w:val="0070C0"/>
          <w:sz w:val="32"/>
          <w:szCs w:val="32"/>
        </w:rPr>
        <w:t>Gamero</w:t>
      </w:r>
      <w:proofErr w:type="spellEnd"/>
      <w:r w:rsidRPr="00502336">
        <w:rPr>
          <w:rFonts w:eastAsia="Times New Roman"/>
          <w:color w:val="0070C0"/>
          <w:sz w:val="32"/>
          <w:szCs w:val="32"/>
        </w:rPr>
        <w:t xml:space="preserve"> </w:t>
      </w:r>
      <w:proofErr w:type="spellStart"/>
      <w:r w:rsidRPr="00502336">
        <w:rPr>
          <w:rFonts w:eastAsia="Times New Roman"/>
          <w:color w:val="0070C0"/>
          <w:sz w:val="32"/>
          <w:szCs w:val="32"/>
        </w:rPr>
        <w:t>Kinosita</w:t>
      </w:r>
      <w:proofErr w:type="spellEnd"/>
    </w:p>
    <w:p w:rsidR="00E146DB" w:rsidRPr="00502336" w:rsidRDefault="00E146DB" w:rsidP="00E146DB">
      <w:pPr>
        <w:rPr>
          <w:rFonts w:eastAsiaTheme="minorHAnsi"/>
        </w:rPr>
      </w:pPr>
    </w:p>
    <w:p w:rsidR="00E146DB" w:rsidRPr="00E273F0"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color w:val="000000"/>
        </w:rPr>
      </w:pPr>
      <w:r w:rsidRPr="00502336">
        <w:rPr>
          <w:noProof/>
          <w:lang w:eastAsia="en-GB"/>
        </w:rPr>
        <w:drawing>
          <wp:anchor distT="0" distB="0" distL="114300" distR="114300" simplePos="0" relativeHeight="251659264" behindDoc="1" locked="0" layoutInCell="1" allowOverlap="1" wp14:anchorId="74CE7A66" wp14:editId="303A9929">
            <wp:simplePos x="0" y="0"/>
            <wp:positionH relativeFrom="column">
              <wp:posOffset>38100</wp:posOffset>
            </wp:positionH>
            <wp:positionV relativeFrom="paragraph">
              <wp:posOffset>14605</wp:posOffset>
            </wp:positionV>
            <wp:extent cx="2190750" cy="2238375"/>
            <wp:effectExtent l="0" t="0" r="0" b="9525"/>
            <wp:wrapTight wrapText="bothSides">
              <wp:wrapPolygon edited="0">
                <wp:start x="0" y="0"/>
                <wp:lineTo x="0" y="21508"/>
                <wp:lineTo x="21412" y="21508"/>
                <wp:lineTo x="21412" y="0"/>
                <wp:lineTo x="0" y="0"/>
              </wp:wrapPolygon>
            </wp:wrapTight>
            <wp:docPr id="297" name="Picture 297" descr="M:\NEWSLETTER &amp; Calendar of Events\2017\2017-10\NL Items\PC - Article J Kinosita_TD\IMG_3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WSLETTER &amp; Calendar of Events\2017\2017-10\NL Items\PC - Article J Kinosita_TD\IMG_375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290" t="6873" r="15392"/>
                    <a:stretch/>
                  </pic:blipFill>
                  <pic:spPr bwMode="auto">
                    <a:xfrm>
                      <a:off x="0" y="0"/>
                      <a:ext cx="2190750" cy="2238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2336">
        <w:rPr>
          <w:rFonts w:eastAsia="ヒラギノ角ゴ Pro W3"/>
          <w:color w:val="000000"/>
        </w:rPr>
        <w:t xml:space="preserve">The shocking acts of violence perpetrated on September 11, 2001, will remain engraved in </w:t>
      </w:r>
      <w:proofErr w:type="gramStart"/>
      <w:r w:rsidRPr="00502336">
        <w:rPr>
          <w:rFonts w:eastAsia="ヒラギノ角ゴ Pro W3"/>
          <w:color w:val="000000"/>
        </w:rPr>
        <w:t>mankind‘</w:t>
      </w:r>
      <w:proofErr w:type="gramEnd"/>
      <w:r w:rsidRPr="00502336">
        <w:rPr>
          <w:rFonts w:eastAsia="ヒラギノ角ゴ Pro W3"/>
          <w:color w:val="000000"/>
        </w:rPr>
        <w:t xml:space="preserve">s collective memory. </w:t>
      </w:r>
      <w:r w:rsidRPr="00E273F0">
        <w:rPr>
          <w:rFonts w:eastAsia="ヒラギノ角ゴ Pro W3"/>
          <w:color w:val="000000"/>
        </w:rPr>
        <w:t>They signalled that global terrorism will be humanity’s scourge in the 21st century. Since that moment, the world has no longer been what it used to be. Acute tensions between citizen security and human rights arise from current counterterrorism policies.</w:t>
      </w:r>
    </w:p>
    <w:p w:rsidR="00E146DB" w:rsidRPr="00E273F0"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b/>
          <w:color w:val="000000"/>
        </w:rPr>
      </w:pPr>
      <w:r w:rsidRPr="00E273F0">
        <w:rPr>
          <w:rFonts w:eastAsia="ヒラギノ角ゴ Pro W3"/>
          <w:b/>
          <w:color w:val="000000"/>
        </w:rPr>
        <w:t>From the Terror Discourse to the Psychology of Fear in the Risk Society</w:t>
      </w:r>
    </w:p>
    <w:p w:rsidR="00E146DB" w:rsidRPr="00E273F0"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color w:val="000000"/>
        </w:rPr>
      </w:pPr>
      <w:r w:rsidRPr="00E273F0">
        <w:rPr>
          <w:rFonts w:eastAsia="ヒラギノ角ゴ Pro W3"/>
          <w:color w:val="000000"/>
        </w:rPr>
        <w:t xml:space="preserve">That day, the dramaturgy of terror was installed. A new political discourse of terrorism gained popularity. It was a massive discourse, propagated by the media, full of metaphors like “Axis of Evil”, “Era of Terror”, “War Against Terror” or the “Existence of Arms of Mass Destruction”, which instilled a psychology of fear among the people, an impulse of traumatic disorder. This, along with postmodern society’s social changes, spawned uncertainty, anxiety, </w:t>
      </w:r>
      <w:proofErr w:type="gramStart"/>
      <w:r w:rsidRPr="00E273F0">
        <w:rPr>
          <w:rFonts w:eastAsia="ヒラギノ角ゴ Pro W3"/>
          <w:color w:val="000000"/>
        </w:rPr>
        <w:t>insecurity</w:t>
      </w:r>
      <w:proofErr w:type="gramEnd"/>
      <w:r w:rsidRPr="00E273F0">
        <w:rPr>
          <w:rFonts w:eastAsia="ヒラギノ角ゴ Pro W3"/>
          <w:color w:val="000000"/>
        </w:rPr>
        <w:t xml:space="preserve"> and collective fear, </w:t>
      </w:r>
      <w:proofErr w:type="spellStart"/>
      <w:r w:rsidRPr="00E273F0">
        <w:rPr>
          <w:rFonts w:eastAsia="ヒラギノ角ゴ Pro W3"/>
          <w:color w:val="000000"/>
        </w:rPr>
        <w:t>hightening</w:t>
      </w:r>
      <w:proofErr w:type="spellEnd"/>
      <w:r w:rsidRPr="00E273F0">
        <w:rPr>
          <w:rFonts w:eastAsia="ヒラギノ角ゴ Pro W3"/>
          <w:color w:val="000000"/>
        </w:rPr>
        <w:t xml:space="preserve"> the sense of vertigo generated by the society of risk described by Ulrich Beck, who maintains that the very progress of technological and social development produces inevitable risks, such as organized crime, nuclear threats, etc.</w:t>
      </w:r>
      <w:r w:rsidRPr="00502336">
        <w:rPr>
          <w:rFonts w:eastAsia="ヒラギノ角ゴ Pro W3"/>
          <w:color w:val="000000"/>
          <w:vertAlign w:val="superscript"/>
          <w:lang w:val="es-ES_tradnl"/>
        </w:rPr>
        <w:footnoteReference w:id="1"/>
      </w:r>
    </w:p>
    <w:p w:rsidR="00E146DB" w:rsidRPr="00E146DB"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b/>
          <w:color w:val="000000"/>
        </w:rPr>
      </w:pPr>
      <w:r w:rsidRPr="00E146DB">
        <w:rPr>
          <w:rFonts w:eastAsia="ヒラギノ角ゴ Pro W3"/>
          <w:b/>
          <w:color w:val="000000"/>
        </w:rPr>
        <w:t xml:space="preserve">Crime Policy and Human Rights: Paradoxes, </w:t>
      </w:r>
      <w:proofErr w:type="gramStart"/>
      <w:r w:rsidRPr="00E146DB">
        <w:rPr>
          <w:rFonts w:eastAsia="ヒラギノ角ゴ Pro W3"/>
          <w:b/>
          <w:color w:val="000000"/>
        </w:rPr>
        <w:t>Ambiguities</w:t>
      </w:r>
      <w:proofErr w:type="gramEnd"/>
      <w:r w:rsidRPr="00E146DB">
        <w:rPr>
          <w:rFonts w:eastAsia="ヒラギノ角ゴ Pro W3"/>
          <w:b/>
          <w:color w:val="000000"/>
        </w:rPr>
        <w:t xml:space="preserve"> and Potential </w:t>
      </w:r>
    </w:p>
    <w:p w:rsidR="00E146DB" w:rsidRPr="00E146DB"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color w:val="000000"/>
        </w:rPr>
      </w:pPr>
      <w:r w:rsidRPr="00E146DB">
        <w:rPr>
          <w:rFonts w:eastAsia="ヒラギノ角ゴ Pro W3"/>
          <w:color w:val="000000"/>
        </w:rPr>
        <w:t xml:space="preserve">In the risk society, </w:t>
      </w:r>
      <w:proofErr w:type="gramStart"/>
      <w:r w:rsidRPr="00E146DB">
        <w:rPr>
          <w:rFonts w:eastAsia="ヒラギノ角ゴ Pro W3"/>
          <w:color w:val="000000"/>
        </w:rPr>
        <w:t>politicians are pressured by social demand</w:t>
      </w:r>
      <w:proofErr w:type="gramEnd"/>
      <w:r w:rsidRPr="00E146DB">
        <w:rPr>
          <w:rFonts w:eastAsia="ヒラギノ角ゴ Pro W3"/>
          <w:color w:val="000000"/>
        </w:rPr>
        <w:t xml:space="preserve"> to make concessions and accept that citizens want the most secure rules for communal life, even at the price of compromising fundamental rights and freedoms. </w:t>
      </w:r>
      <w:proofErr w:type="spellStart"/>
      <w:r w:rsidRPr="00E146DB">
        <w:rPr>
          <w:rFonts w:eastAsia="ヒラギノ角ゴ Pro W3"/>
          <w:color w:val="000000"/>
        </w:rPr>
        <w:t>Noriyoshi</w:t>
      </w:r>
      <w:proofErr w:type="spellEnd"/>
      <w:r w:rsidRPr="00E146DB">
        <w:rPr>
          <w:rFonts w:eastAsia="ヒラギノ角ゴ Pro W3"/>
          <w:color w:val="000000"/>
        </w:rPr>
        <w:t xml:space="preserve"> </w:t>
      </w:r>
      <w:proofErr w:type="spellStart"/>
      <w:r w:rsidRPr="00E146DB">
        <w:rPr>
          <w:rFonts w:eastAsia="ヒラギノ角ゴ Pro W3"/>
          <w:color w:val="000000"/>
        </w:rPr>
        <w:t>Takemura</w:t>
      </w:r>
      <w:proofErr w:type="spellEnd"/>
      <w:r w:rsidRPr="00E146DB">
        <w:rPr>
          <w:rFonts w:eastAsia="ヒラギノ角ゴ Pro W3"/>
          <w:color w:val="000000"/>
        </w:rPr>
        <w:t xml:space="preserve"> of the </w:t>
      </w:r>
      <w:proofErr w:type="spellStart"/>
      <w:r w:rsidRPr="00E146DB">
        <w:rPr>
          <w:rFonts w:eastAsia="ヒラギノ角ゴ Pro W3"/>
          <w:color w:val="000000"/>
        </w:rPr>
        <w:t>Toin</w:t>
      </w:r>
      <w:proofErr w:type="spellEnd"/>
      <w:r w:rsidRPr="00E146DB">
        <w:rPr>
          <w:rFonts w:eastAsia="ヒラギノ角ゴ Pro W3"/>
          <w:color w:val="000000"/>
        </w:rPr>
        <w:t xml:space="preserve"> University of Yokohama points out that we are facing a trilemma among “safety, freedom and justice”. </w:t>
      </w:r>
      <w:r w:rsidRPr="00502336">
        <w:rPr>
          <w:rFonts w:eastAsia="ヒラギノ角ゴ Pro W3"/>
          <w:color w:val="000000"/>
          <w:lang w:val="en-US"/>
        </w:rPr>
        <w:t xml:space="preserve">In a society with high crime rates, risk and terror, the </w:t>
      </w:r>
      <w:proofErr w:type="gramStart"/>
      <w:r w:rsidRPr="00502336">
        <w:rPr>
          <w:rFonts w:eastAsia="ヒラギノ角ゴ Pro W3"/>
          <w:color w:val="000000"/>
          <w:lang w:val="en-US"/>
        </w:rPr>
        <w:t>confrontations</w:t>
      </w:r>
      <w:proofErr w:type="gramEnd"/>
      <w:r w:rsidRPr="00502336">
        <w:rPr>
          <w:rFonts w:eastAsia="ヒラギノ角ゴ Pro W3"/>
          <w:color w:val="000000"/>
          <w:lang w:val="en-US"/>
        </w:rPr>
        <w:t xml:space="preserve"> and contradictions among those three poles increase. “At the critical point” – </w:t>
      </w:r>
      <w:proofErr w:type="spellStart"/>
      <w:r w:rsidRPr="00502336">
        <w:rPr>
          <w:rFonts w:eastAsia="ヒラギノ角ゴ Pro W3"/>
          <w:color w:val="000000"/>
          <w:lang w:val="en-US"/>
        </w:rPr>
        <w:t>Takemura</w:t>
      </w:r>
      <w:proofErr w:type="spellEnd"/>
      <w:r w:rsidRPr="00502336">
        <w:rPr>
          <w:rFonts w:eastAsia="ヒラギノ角ゴ Pro W3"/>
          <w:color w:val="000000"/>
          <w:lang w:val="en-US"/>
        </w:rPr>
        <w:t xml:space="preserve"> continues – “chaos, complexity, contingency and criticality appear”</w:t>
      </w:r>
      <w:r w:rsidRPr="00502336">
        <w:rPr>
          <w:rFonts w:eastAsia="ヒラギノ角ゴ Pro W3"/>
          <w:color w:val="000000"/>
          <w:vertAlign w:val="superscript"/>
          <w:lang w:val="es-ES_tradnl"/>
        </w:rPr>
        <w:footnoteReference w:id="2"/>
      </w:r>
      <w:r w:rsidRPr="00502336">
        <w:rPr>
          <w:rFonts w:eastAsia="ヒラギノ角ゴ Pro W3"/>
          <w:color w:val="000000"/>
          <w:lang w:val="en-US"/>
        </w:rPr>
        <w:t xml:space="preserve">. That is precisely the point at which post 9/11 society encounters itself. Criminal policy is unable to operate outside of this context and confronts the dilemma of whether it should maintain current human rights standards or boost security measures applying tougher prevention and crime control strategies. The past decade saw a gradual replacement of </w:t>
      </w:r>
      <w:r w:rsidRPr="00E146DB">
        <w:rPr>
          <w:rFonts w:eastAsia="ヒラギノ角ゴ Pro W3"/>
          <w:color w:val="000000"/>
        </w:rPr>
        <w:t>the humane and liberal crime policy by a much more drastic neoliberal policy, at the cost of human rights. This raises concerns about the future orientation of government policies: Will their prevention and crime control strategies safeguard human rights?</w:t>
      </w:r>
    </w:p>
    <w:p w:rsidR="00E146DB" w:rsidRPr="00E146DB"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b/>
          <w:color w:val="000000"/>
        </w:rPr>
      </w:pPr>
      <w:r w:rsidRPr="00E146DB">
        <w:rPr>
          <w:rFonts w:eastAsia="ヒラギノ角ゴ Pro W3"/>
          <w:b/>
          <w:color w:val="000000"/>
        </w:rPr>
        <w:lastRenderedPageBreak/>
        <w:t xml:space="preserve">Change of Focus in The Criminal Justice Security Approach after 9/11 </w:t>
      </w:r>
    </w:p>
    <w:p w:rsidR="00E146DB" w:rsidRPr="00E146DB"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color w:val="000000"/>
        </w:rPr>
      </w:pPr>
      <w:r w:rsidRPr="00E146DB">
        <w:rPr>
          <w:rFonts w:eastAsia="ヒラギノ角ゴ Pro W3"/>
          <w:color w:val="000000"/>
        </w:rPr>
        <w:t xml:space="preserve">In post 9/11 society’s security logic, the focus of criminal justice has shifted from the traditional post-crime orientation to a pre-crime orientation. This constitutes a new preventive approach in current criminal justice, known as preventive justice, which poses new challenges to human rights. Fundamental rights, such as the presumption of innocence, the principle of proportionality and the right to due process of law, formerly guaranteed the observance of limits in the post-crime security approach of the justice system, but the relevance of these rights has been diminished in the new preventive doctrine. The high degree of insecurity makes the presumption of innocence appear less important. </w:t>
      </w:r>
    </w:p>
    <w:p w:rsidR="00E146DB" w:rsidRPr="00E146DB"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color w:val="000000"/>
        </w:rPr>
      </w:pPr>
      <w:r w:rsidRPr="00E146DB">
        <w:rPr>
          <w:rFonts w:eastAsia="ヒラギノ角ゴ Pro W3"/>
          <w:color w:val="000000"/>
        </w:rPr>
        <w:t xml:space="preserve">We also observe gross human rights violations in the context of this new criminal policy, such as restrictions of the freedom of religion, freedom to worship, freedom of association, freedom of speech, personal freedom, freedom of movement, the right to privacy, and the right to property. With deep concern, we see measures of permanent telephone and internet surveillance being taken without judicial approval. The recent years have brought the development of the “surveillance society” with high costs, such as the loss of privacy and the erosion of the individual autonomy, as </w:t>
      </w:r>
      <w:r w:rsidRPr="00E146DB">
        <w:rPr>
          <w:rFonts w:eastAsia="ヒラギノ角ゴ Pro W3"/>
        </w:rPr>
        <w:t xml:space="preserve">the surveillance technologies are becoming more widespread, </w:t>
      </w:r>
      <w:proofErr w:type="gramStart"/>
      <w:r w:rsidRPr="00E146DB">
        <w:rPr>
          <w:rFonts w:eastAsia="ヒラギノ角ゴ Pro W3"/>
        </w:rPr>
        <w:t>sophisticated</w:t>
      </w:r>
      <w:proofErr w:type="gramEnd"/>
      <w:r w:rsidRPr="00E146DB">
        <w:rPr>
          <w:rFonts w:eastAsia="ヒラギノ角ゴ Pro W3"/>
        </w:rPr>
        <w:t xml:space="preserve"> and intrusive</w:t>
      </w:r>
      <w:r w:rsidRPr="00502336">
        <w:rPr>
          <w:rFonts w:eastAsia="ヒラギノ角ゴ Pro W3"/>
          <w:color w:val="000000"/>
          <w:vertAlign w:val="superscript"/>
          <w:lang w:val="es-ES_tradnl"/>
        </w:rPr>
        <w:footnoteReference w:id="3"/>
      </w:r>
      <w:r w:rsidRPr="00E146DB">
        <w:rPr>
          <w:rFonts w:eastAsia="ヒラギノ角ゴ Pro W3"/>
          <w:color w:val="000000"/>
        </w:rPr>
        <w:t xml:space="preserve">. We are told of arbitrary arrests, people being stripped of their citizenship, arbitrary extraditions, unlawful entries by the police, confiscations, seizures, access to banking and financial information, blocking of accounts, DNA data banks. In some countries, we also witness a weakening of the legislative power in </w:t>
      </w:r>
      <w:proofErr w:type="spellStart"/>
      <w:r w:rsidRPr="00E146DB">
        <w:rPr>
          <w:rFonts w:eastAsia="ヒラギノ角ゴ Pro W3"/>
          <w:color w:val="000000"/>
        </w:rPr>
        <w:t>favor</w:t>
      </w:r>
      <w:proofErr w:type="spellEnd"/>
      <w:r w:rsidRPr="00E146DB">
        <w:rPr>
          <w:rFonts w:eastAsia="ヒラギノ角ゴ Pro W3"/>
          <w:color w:val="000000"/>
        </w:rPr>
        <w:t xml:space="preserve"> of the executive power, an </w:t>
      </w:r>
      <w:proofErr w:type="spellStart"/>
      <w:r w:rsidRPr="00E146DB">
        <w:rPr>
          <w:rFonts w:eastAsia="ヒラギノ角ゴ Pro W3"/>
          <w:color w:val="000000"/>
        </w:rPr>
        <w:t>instrumentalization</w:t>
      </w:r>
      <w:proofErr w:type="spellEnd"/>
      <w:r w:rsidRPr="00E146DB">
        <w:rPr>
          <w:rFonts w:eastAsia="ヒラギノ角ゴ Pro W3"/>
          <w:color w:val="000000"/>
        </w:rPr>
        <w:t xml:space="preserve"> of the judiciary, the creation of super-</w:t>
      </w:r>
      <w:proofErr w:type="spellStart"/>
      <w:r w:rsidRPr="00E146DB">
        <w:rPr>
          <w:rFonts w:eastAsia="ヒラギノ角ゴ Pro W3"/>
          <w:color w:val="000000"/>
        </w:rPr>
        <w:t>minstries</w:t>
      </w:r>
      <w:proofErr w:type="spellEnd"/>
      <w:r w:rsidRPr="00E146DB">
        <w:rPr>
          <w:rFonts w:eastAsia="ヒラギノ角ゴ Pro W3"/>
          <w:color w:val="000000"/>
        </w:rPr>
        <w:t xml:space="preserve"> for internal security,  a disproportionate increase in the power of the police, the appointment of special military courts for civil persons suspected of terrorism, as well as deplorable prison conditions. Anna Maria </w:t>
      </w:r>
      <w:proofErr w:type="spellStart"/>
      <w:r w:rsidRPr="00E146DB">
        <w:rPr>
          <w:rFonts w:eastAsia="ヒラギノ角ゴ Pro W3"/>
          <w:color w:val="000000"/>
        </w:rPr>
        <w:t>Getos</w:t>
      </w:r>
      <w:proofErr w:type="spellEnd"/>
      <w:r w:rsidRPr="00E146DB">
        <w:rPr>
          <w:rFonts w:eastAsia="ヒラギノ角ゴ Pro W3"/>
          <w:color w:val="000000"/>
        </w:rPr>
        <w:t xml:space="preserve"> of the University of Zagreb, Croatia, underlines that these counterterrorist measures have a negative impact on human rights</w:t>
      </w:r>
      <w:r w:rsidRPr="00502336">
        <w:rPr>
          <w:rFonts w:eastAsia="ヒラギノ角ゴ Pro W3"/>
          <w:color w:val="000000"/>
          <w:vertAlign w:val="superscript"/>
          <w:lang w:val="es-ES_tradnl"/>
        </w:rPr>
        <w:footnoteReference w:id="4"/>
      </w:r>
      <w:r w:rsidRPr="00E146DB">
        <w:rPr>
          <w:rFonts w:eastAsia="ヒラギノ角ゴ Pro W3"/>
          <w:color w:val="000000"/>
        </w:rPr>
        <w:t xml:space="preserve">. Jean-Claude </w:t>
      </w:r>
      <w:proofErr w:type="spellStart"/>
      <w:r w:rsidRPr="00E146DB">
        <w:rPr>
          <w:rFonts w:eastAsia="ヒラギノ角ゴ Pro W3"/>
          <w:color w:val="000000"/>
        </w:rPr>
        <w:t>Paye</w:t>
      </w:r>
      <w:proofErr w:type="spellEnd"/>
      <w:r w:rsidRPr="00E146DB">
        <w:rPr>
          <w:rFonts w:eastAsia="ヒラギノ角ゴ Pro W3"/>
          <w:color w:val="000000"/>
        </w:rPr>
        <w:t xml:space="preserve"> warns us that “democracy is in </w:t>
      </w:r>
      <w:proofErr w:type="gramStart"/>
      <w:r w:rsidRPr="00E146DB">
        <w:rPr>
          <w:rFonts w:eastAsia="ヒラギノ角ゴ Pro W3"/>
          <w:color w:val="000000"/>
        </w:rPr>
        <w:t>serious danger</w:t>
      </w:r>
      <w:proofErr w:type="gramEnd"/>
      <w:r w:rsidRPr="00E146DB">
        <w:rPr>
          <w:rFonts w:eastAsia="ヒラギノ角ゴ Pro W3"/>
          <w:color w:val="000000"/>
        </w:rPr>
        <w:t>”</w:t>
      </w:r>
      <w:r w:rsidRPr="00502336">
        <w:rPr>
          <w:rFonts w:eastAsia="ヒラギノ角ゴ Pro W3"/>
          <w:color w:val="000000"/>
          <w:vertAlign w:val="superscript"/>
          <w:lang w:val="es-ES_tradnl"/>
        </w:rPr>
        <w:footnoteReference w:id="5"/>
      </w:r>
      <w:r w:rsidRPr="00E146DB">
        <w:rPr>
          <w:rFonts w:eastAsia="ヒラギノ角ゴ Pro W3"/>
          <w:color w:val="000000"/>
        </w:rPr>
        <w:t xml:space="preserve">. </w:t>
      </w:r>
    </w:p>
    <w:p w:rsidR="00E146DB" w:rsidRPr="00E146DB"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b/>
          <w:color w:val="000000"/>
        </w:rPr>
      </w:pPr>
      <w:r w:rsidRPr="00E146DB">
        <w:rPr>
          <w:rFonts w:eastAsia="ヒラギノ角ゴ Pro W3"/>
          <w:b/>
          <w:color w:val="000000"/>
        </w:rPr>
        <w:t>The Democratic Concept of the Police and Human Rights</w:t>
      </w:r>
    </w:p>
    <w:p w:rsidR="00E146DB" w:rsidRPr="00E146DB"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color w:val="000000"/>
        </w:rPr>
      </w:pPr>
      <w:r w:rsidRPr="00E146DB">
        <w:rPr>
          <w:rFonts w:eastAsia="ヒラギノ角ゴ Pro W3"/>
          <w:color w:val="000000"/>
        </w:rPr>
        <w:t xml:space="preserve">The police is one of the basic institutions of modern rule-of-law states, where the </w:t>
      </w:r>
      <w:proofErr w:type="spellStart"/>
      <w:r w:rsidRPr="00E146DB">
        <w:rPr>
          <w:rFonts w:eastAsia="ヒラギノ角ゴ Pro W3"/>
          <w:color w:val="000000"/>
        </w:rPr>
        <w:t>defense</w:t>
      </w:r>
      <w:proofErr w:type="spellEnd"/>
      <w:r w:rsidRPr="00E146DB">
        <w:rPr>
          <w:rFonts w:eastAsia="ヒラギノ角ゴ Pro W3"/>
          <w:color w:val="000000"/>
        </w:rPr>
        <w:t xml:space="preserve"> of human rights is a key maxim. However, due to 9/11, we increasingly observe that in certain countries the interior policy is dictated by the military, which takes over tasks that normally correspond to the police. At this point, a clear distinction between the terms “</w:t>
      </w:r>
      <w:proofErr w:type="spellStart"/>
      <w:r w:rsidRPr="00E146DB">
        <w:rPr>
          <w:rFonts w:eastAsia="ヒラギノ角ゴ Pro W3"/>
          <w:color w:val="000000"/>
        </w:rPr>
        <w:t>defense</w:t>
      </w:r>
      <w:proofErr w:type="spellEnd"/>
      <w:r w:rsidRPr="00E146DB">
        <w:rPr>
          <w:rFonts w:eastAsia="ヒラギノ角ゴ Pro W3"/>
          <w:color w:val="000000"/>
        </w:rPr>
        <w:t xml:space="preserve">” and “security” needs to be made. The </w:t>
      </w:r>
      <w:proofErr w:type="spellStart"/>
      <w:r w:rsidRPr="00E146DB">
        <w:rPr>
          <w:rFonts w:eastAsia="ヒラギノ角ゴ Pro W3"/>
          <w:color w:val="000000"/>
        </w:rPr>
        <w:t>defense</w:t>
      </w:r>
      <w:proofErr w:type="spellEnd"/>
      <w:r w:rsidRPr="00E146DB">
        <w:rPr>
          <w:rFonts w:eastAsia="ヒラギノ角ゴ Pro W3"/>
          <w:color w:val="000000"/>
        </w:rPr>
        <w:t xml:space="preserve"> is the domain of the military, which focuses on combat, external security, uses deadly weapons and is governed by the rule of armed conflict (</w:t>
      </w:r>
      <w:proofErr w:type="spellStart"/>
      <w:r w:rsidRPr="00E146DB">
        <w:rPr>
          <w:rFonts w:eastAsia="ヒラギノ角ゴ Pro W3"/>
          <w:color w:val="000000"/>
        </w:rPr>
        <w:t>ius</w:t>
      </w:r>
      <w:proofErr w:type="spellEnd"/>
      <w:r w:rsidRPr="00E146DB">
        <w:rPr>
          <w:rFonts w:eastAsia="ヒラギノ角ゴ Pro W3"/>
          <w:color w:val="000000"/>
        </w:rPr>
        <w:t xml:space="preserve"> in bello). The police, on the other hand, </w:t>
      </w:r>
      <w:proofErr w:type="spellStart"/>
      <w:r w:rsidRPr="00E146DB">
        <w:rPr>
          <w:rFonts w:eastAsia="ヒラギノ角ゴ Pro W3"/>
          <w:color w:val="000000"/>
        </w:rPr>
        <w:t>centers</w:t>
      </w:r>
      <w:proofErr w:type="spellEnd"/>
      <w:r w:rsidRPr="00E146DB">
        <w:rPr>
          <w:rFonts w:eastAsia="ヒラギノ角ゴ Pro W3"/>
          <w:color w:val="000000"/>
        </w:rPr>
        <w:t xml:space="preserve"> its actions on law enforcement. In democratic states, the police does not have any internal enemies to fight, but citizens to protect.  In the context of the battle against global terrorism, many dictatorial or autocratic regimes have imposed old military concepts on the police, using it as a power tool to spy and provide intelligence for the government, </w:t>
      </w:r>
      <w:r w:rsidRPr="00E146DB">
        <w:rPr>
          <w:rFonts w:eastAsia="ヒラギノ角ゴ Pro W3"/>
          <w:color w:val="000000"/>
        </w:rPr>
        <w:lastRenderedPageBreak/>
        <w:t xml:space="preserve">thereby converting the police into a source of conflict and social </w:t>
      </w:r>
      <w:proofErr w:type="spellStart"/>
      <w:r w:rsidRPr="00E146DB">
        <w:rPr>
          <w:rFonts w:eastAsia="ヒラギノ角ゴ Pro W3"/>
          <w:color w:val="000000"/>
        </w:rPr>
        <w:t>desintegration</w:t>
      </w:r>
      <w:proofErr w:type="spellEnd"/>
      <w:r w:rsidRPr="00E146DB">
        <w:rPr>
          <w:rFonts w:eastAsia="ヒラギノ角ゴ Pro W3"/>
          <w:color w:val="000000"/>
        </w:rPr>
        <w:t xml:space="preserve">. For this reason, the doctrine of the police in this day and age must be inspired in the philosophy of </w:t>
      </w:r>
      <w:proofErr w:type="spellStart"/>
      <w:r w:rsidRPr="00E146DB">
        <w:rPr>
          <w:rFonts w:eastAsia="ヒラギノ角ゴ Pro W3"/>
          <w:color w:val="000000"/>
        </w:rPr>
        <w:t>democray</w:t>
      </w:r>
      <w:proofErr w:type="spellEnd"/>
      <w:r w:rsidRPr="00E146DB">
        <w:rPr>
          <w:rFonts w:eastAsia="ヒラギノ角ゴ Pro W3"/>
          <w:color w:val="000000"/>
        </w:rPr>
        <w:t xml:space="preserve"> and human rights. The police must be a civil body and act as a service of a civil nature.  </w:t>
      </w:r>
    </w:p>
    <w:p w:rsidR="00E146DB" w:rsidRPr="00E146DB"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b/>
          <w:color w:val="000000"/>
        </w:rPr>
      </w:pPr>
      <w:r w:rsidRPr="00E146DB">
        <w:rPr>
          <w:rFonts w:eastAsia="ヒラギノ角ゴ Pro W3"/>
          <w:b/>
          <w:color w:val="000000"/>
        </w:rPr>
        <w:t xml:space="preserve">Human Rights as a Core Element of Citizen Security </w:t>
      </w:r>
    </w:p>
    <w:p w:rsidR="00E146DB" w:rsidRPr="00E146DB"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color w:val="000000"/>
        </w:rPr>
      </w:pPr>
      <w:r w:rsidRPr="00E146DB">
        <w:rPr>
          <w:rFonts w:eastAsia="ヒラギノ角ゴ Pro W3"/>
          <w:color w:val="000000"/>
        </w:rPr>
        <w:t xml:space="preserve">Citizen security plays a key role in the development of human rights. Its goal consists in the protection of the persons on the basis of the constitution and legislation. It is essential to abolish the old concept of public order and national security, which sees the police as a tool of the state whose task lies in maintaining public </w:t>
      </w:r>
      <w:proofErr w:type="spellStart"/>
      <w:r w:rsidRPr="00E146DB">
        <w:rPr>
          <w:rFonts w:eastAsia="ヒラギノ角ゴ Pro W3"/>
          <w:color w:val="000000"/>
        </w:rPr>
        <w:t>tranquility</w:t>
      </w:r>
      <w:proofErr w:type="spellEnd"/>
      <w:r w:rsidRPr="00E146DB">
        <w:rPr>
          <w:rFonts w:eastAsia="ヒラギノ角ゴ Pro W3"/>
          <w:color w:val="000000"/>
        </w:rPr>
        <w:t xml:space="preserve">, independently of whether the order that is protected is actually a violent or </w:t>
      </w:r>
      <w:proofErr w:type="spellStart"/>
      <w:r w:rsidRPr="00E146DB">
        <w:rPr>
          <w:rFonts w:eastAsia="ヒラギノ角ゴ Pro W3"/>
          <w:color w:val="000000"/>
        </w:rPr>
        <w:t>injust</w:t>
      </w:r>
      <w:proofErr w:type="spellEnd"/>
      <w:r w:rsidRPr="00E146DB">
        <w:rPr>
          <w:rFonts w:eastAsia="ヒラギノ角ゴ Pro W3"/>
          <w:color w:val="000000"/>
        </w:rPr>
        <w:t xml:space="preserve"> one. The concept of citizen security, by contrast, works to the benefit of the individuals. It is not just limited to the fight against delinquency, but goes further aiming to create an environment that fosters social peace and development. </w:t>
      </w:r>
    </w:p>
    <w:p w:rsidR="00E146DB" w:rsidRPr="00E146DB"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b/>
          <w:color w:val="000000"/>
        </w:rPr>
      </w:pPr>
      <w:r w:rsidRPr="00E146DB">
        <w:rPr>
          <w:rFonts w:eastAsia="ヒラギノ角ゴ Pro W3"/>
          <w:b/>
          <w:color w:val="000000"/>
        </w:rPr>
        <w:t>Final Thoughts</w:t>
      </w:r>
    </w:p>
    <w:p w:rsidR="00E146DB" w:rsidRPr="00E146DB"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color w:val="000000"/>
        </w:rPr>
      </w:pPr>
      <w:r w:rsidRPr="00E146DB">
        <w:rPr>
          <w:rFonts w:eastAsia="ヒラギノ角ゴ Pro W3"/>
          <w:color w:val="000000"/>
        </w:rPr>
        <w:t xml:space="preserve">The 21st century requires a </w:t>
      </w:r>
      <w:r w:rsidRPr="00E146DB">
        <w:rPr>
          <w:rFonts w:eastAsia="ヒラギノ角ゴ Pro W3"/>
          <w:i/>
          <w:color w:val="000000"/>
        </w:rPr>
        <w:t>sustainable security</w:t>
      </w:r>
      <w:r w:rsidRPr="00E146DB">
        <w:rPr>
          <w:rFonts w:eastAsia="ヒラギノ角ゴ Pro W3"/>
          <w:color w:val="000000"/>
        </w:rPr>
        <w:t xml:space="preserve">, i.e. a broad, objective as well as subjective security comprising 4 levels: collective or global security, security of the state, security of the institutions and security of the persons. The culture of human rights does not only constitute one of the philosophical pillars of civilized Western societies, it is also an essential component of security. Currently, stricter laws are very popular as they promise heightened security. However, a battle against terrorism based on the assumption that every person is a potentially dangerous subject undermines the validity of human rights.  </w:t>
      </w:r>
    </w:p>
    <w:p w:rsidR="00E146DB" w:rsidRPr="00E146DB" w:rsidRDefault="00E146DB" w:rsidP="00E146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ヒラギノ角ゴ Pro W3"/>
          <w:color w:val="000000"/>
        </w:rPr>
      </w:pPr>
      <w:r w:rsidRPr="00E146DB">
        <w:rPr>
          <w:rFonts w:eastAsia="ヒラギノ角ゴ Pro W3"/>
          <w:color w:val="000000"/>
        </w:rPr>
        <w:t>The attempt to achieve the desired security by eroding the very values and freedoms that terrorism seeks to destroy is counterproductive. My opinion is that an idea cannot be shot, an idea must be fought with a better idea. In the battle against terrorism, the human rights values preached by the West all over the world must be respected, otherwise the West will lose credibility. Without credibility, there is no legitimacy and without legitimacy, there is no success.  The action of the police is a key element for finding the point of equilibrium between security and human rights, provided that it adheres to the principles and rules of the democratic state. Let‘s not forget Benjamin Franklin‘s words: “Those who give up essential liberty to purchase a little temporary safety, deserve neither liberty nor safety“.</w:t>
      </w:r>
    </w:p>
    <w:p w:rsidR="00E146DB" w:rsidRDefault="00E146DB" w:rsidP="003764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eastAsia="Times New Roman"/>
          <w:b/>
          <w:i/>
          <w:color w:val="000000"/>
        </w:rPr>
      </w:pPr>
      <w:r w:rsidRPr="00E146DB">
        <w:rPr>
          <w:rFonts w:eastAsia="ヒラギノ角ゴ Pro W3"/>
          <w:b/>
          <w:i/>
          <w:color w:val="000000"/>
        </w:rPr>
        <w:t xml:space="preserve">Javier </w:t>
      </w:r>
      <w:proofErr w:type="spellStart"/>
      <w:r w:rsidRPr="00E146DB">
        <w:rPr>
          <w:rFonts w:eastAsia="ヒラギノ角ゴ Pro W3"/>
          <w:b/>
          <w:i/>
          <w:color w:val="000000"/>
        </w:rPr>
        <w:t>Gamero</w:t>
      </w:r>
      <w:proofErr w:type="spellEnd"/>
      <w:r w:rsidRPr="00E146DB">
        <w:rPr>
          <w:rFonts w:eastAsia="ヒラギノ角ゴ Pro W3"/>
          <w:b/>
          <w:i/>
          <w:color w:val="000000"/>
        </w:rPr>
        <w:t xml:space="preserve"> </w:t>
      </w:r>
      <w:proofErr w:type="spellStart"/>
      <w:r w:rsidRPr="00E146DB">
        <w:rPr>
          <w:rFonts w:eastAsia="ヒラギノ角ゴ Pro W3"/>
          <w:b/>
          <w:i/>
          <w:color w:val="000000"/>
        </w:rPr>
        <w:t>Kinosita</w:t>
      </w:r>
      <w:proofErr w:type="spellEnd"/>
      <w:r w:rsidRPr="00E146DB">
        <w:rPr>
          <w:rFonts w:eastAsia="ヒラギノ角ゴ Pro W3"/>
          <w:b/>
          <w:i/>
          <w:color w:val="000000"/>
        </w:rPr>
        <w:t>, Professional Commission member and IPA Peru</w:t>
      </w:r>
      <w:bookmarkStart w:id="0" w:name="_GoBack"/>
      <w:bookmarkEnd w:id="0"/>
    </w:p>
    <w:p w:rsidR="00E146DB" w:rsidRDefault="00E146DB"/>
    <w:sectPr w:rsidR="00E146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576" w:rsidRDefault="00571576" w:rsidP="00E146DB">
      <w:r>
        <w:separator/>
      </w:r>
    </w:p>
  </w:endnote>
  <w:endnote w:type="continuationSeparator" w:id="0">
    <w:p w:rsidR="00571576" w:rsidRDefault="00571576" w:rsidP="00E1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576" w:rsidRDefault="00571576" w:rsidP="00E146DB">
      <w:r>
        <w:separator/>
      </w:r>
    </w:p>
  </w:footnote>
  <w:footnote w:type="continuationSeparator" w:id="0">
    <w:p w:rsidR="00571576" w:rsidRDefault="00571576" w:rsidP="00E146DB">
      <w:r>
        <w:continuationSeparator/>
      </w:r>
    </w:p>
  </w:footnote>
  <w:footnote w:id="1">
    <w:p w:rsidR="00E146DB" w:rsidRPr="00C35BCC" w:rsidRDefault="00E146DB" w:rsidP="00E146DB">
      <w:pPr>
        <w:pStyle w:val="FootnoteText1"/>
        <w:jc w:val="both"/>
        <w:rPr>
          <w:rFonts w:ascii="Arial" w:eastAsia="Times New Roman" w:hAnsi="Arial" w:cs="Arial"/>
          <w:color w:val="auto"/>
          <w:sz w:val="16"/>
          <w:szCs w:val="16"/>
          <w:lang w:eastAsia="en-GB" w:bidi="x-none"/>
        </w:rPr>
      </w:pPr>
      <w:r w:rsidRPr="00C35BCC">
        <w:rPr>
          <w:rStyle w:val="FootnoteReference1"/>
          <w:rFonts w:ascii="Arial" w:hAnsi="Arial" w:cs="Arial"/>
          <w:sz w:val="16"/>
          <w:szCs w:val="16"/>
          <w:lang w:val="en-US"/>
        </w:rPr>
        <w:footnoteRef/>
      </w:r>
      <w:r w:rsidRPr="00C35BCC">
        <w:rPr>
          <w:rFonts w:ascii="Arial" w:hAnsi="Arial" w:cs="Arial"/>
          <w:sz w:val="16"/>
          <w:szCs w:val="16"/>
        </w:rPr>
        <w:t xml:space="preserve"> Kunz, Karl-Ludwig. </w:t>
      </w:r>
      <w:r w:rsidRPr="00C35BCC">
        <w:rPr>
          <w:rFonts w:ascii="Arial" w:hAnsi="Arial" w:cs="Arial"/>
          <w:i/>
          <w:sz w:val="16"/>
          <w:szCs w:val="16"/>
        </w:rPr>
        <w:t>Kriminologie.</w:t>
      </w:r>
      <w:r w:rsidRPr="00C35BCC">
        <w:rPr>
          <w:rFonts w:ascii="Arial" w:hAnsi="Arial" w:cs="Arial"/>
          <w:sz w:val="16"/>
          <w:szCs w:val="16"/>
        </w:rPr>
        <w:t xml:space="preserve"> Berne, Stuttgart, Vienna: Haupt, 2008, p. 304.</w:t>
      </w:r>
    </w:p>
  </w:footnote>
  <w:footnote w:id="2">
    <w:p w:rsidR="00E146DB" w:rsidRPr="00C35BCC" w:rsidRDefault="00E146DB" w:rsidP="00E146DB">
      <w:pPr>
        <w:pStyle w:val="FootnoteText1"/>
        <w:jc w:val="both"/>
        <w:rPr>
          <w:rFonts w:ascii="Arial" w:hAnsi="Arial" w:cs="Arial"/>
          <w:sz w:val="16"/>
          <w:szCs w:val="16"/>
          <w:lang w:val="en-US"/>
        </w:rPr>
      </w:pPr>
      <w:r w:rsidRPr="00C35BCC">
        <w:rPr>
          <w:rStyle w:val="FootnoteReference1"/>
          <w:rFonts w:ascii="Arial" w:hAnsi="Arial" w:cs="Arial"/>
          <w:sz w:val="16"/>
          <w:szCs w:val="16"/>
          <w:lang w:val="en-US"/>
        </w:rPr>
        <w:footnoteRef/>
      </w:r>
      <w:r w:rsidRPr="00C35BCC">
        <w:rPr>
          <w:rFonts w:ascii="Arial" w:hAnsi="Arial" w:cs="Arial"/>
          <w:sz w:val="16"/>
          <w:szCs w:val="16"/>
          <w:lang w:val="en-US"/>
        </w:rPr>
        <w:t xml:space="preserve"> </w:t>
      </w:r>
      <w:proofErr w:type="spellStart"/>
      <w:r w:rsidRPr="00C35BCC">
        <w:rPr>
          <w:rFonts w:ascii="Arial" w:hAnsi="Arial" w:cs="Arial"/>
          <w:sz w:val="16"/>
          <w:szCs w:val="16"/>
          <w:lang w:val="en-US"/>
        </w:rPr>
        <w:t>Takemura</w:t>
      </w:r>
      <w:proofErr w:type="spellEnd"/>
      <w:r w:rsidRPr="00C35BCC">
        <w:rPr>
          <w:rFonts w:ascii="Arial" w:hAnsi="Arial" w:cs="Arial"/>
          <w:sz w:val="16"/>
          <w:szCs w:val="16"/>
          <w:lang w:val="en-US"/>
        </w:rPr>
        <w:t xml:space="preserve">, </w:t>
      </w:r>
      <w:proofErr w:type="spellStart"/>
      <w:r w:rsidRPr="00C35BCC">
        <w:rPr>
          <w:rFonts w:ascii="Arial" w:hAnsi="Arial" w:cs="Arial"/>
          <w:sz w:val="16"/>
          <w:szCs w:val="16"/>
          <w:lang w:val="en-US"/>
        </w:rPr>
        <w:t>Noriyoshi</w:t>
      </w:r>
      <w:proofErr w:type="spellEnd"/>
      <w:r w:rsidRPr="00C35BCC">
        <w:rPr>
          <w:rFonts w:ascii="Arial" w:hAnsi="Arial" w:cs="Arial"/>
          <w:sz w:val="16"/>
          <w:szCs w:val="16"/>
          <w:lang w:val="en-US"/>
        </w:rPr>
        <w:t>. “Beyond Criminology: Emerging New Paradigm of Complexity Criminology – Chaos,</w:t>
      </w:r>
    </w:p>
    <w:p w:rsidR="00E146DB" w:rsidRPr="00C35BCC" w:rsidRDefault="00E146DB" w:rsidP="00E146DB">
      <w:pPr>
        <w:pStyle w:val="FootnoteText1"/>
        <w:jc w:val="both"/>
        <w:rPr>
          <w:rFonts w:ascii="Arial" w:eastAsia="Times New Roman" w:hAnsi="Arial" w:cs="Arial"/>
          <w:color w:val="auto"/>
          <w:sz w:val="16"/>
          <w:szCs w:val="16"/>
          <w:lang w:val="en-US" w:eastAsia="en-GB" w:bidi="x-none"/>
        </w:rPr>
      </w:pPr>
      <w:r w:rsidRPr="00C35BCC">
        <w:rPr>
          <w:rFonts w:ascii="Arial" w:hAnsi="Arial" w:cs="Arial"/>
          <w:sz w:val="16"/>
          <w:szCs w:val="16"/>
          <w:lang w:val="en-US"/>
        </w:rPr>
        <w:t xml:space="preserve">   Contingency and Criticality”, in: </w:t>
      </w:r>
      <w:r w:rsidRPr="00C35BCC">
        <w:rPr>
          <w:rFonts w:ascii="Arial" w:hAnsi="Arial" w:cs="Arial"/>
          <w:i/>
          <w:sz w:val="16"/>
          <w:szCs w:val="16"/>
          <w:lang w:val="en-US"/>
        </w:rPr>
        <w:t>The Stockholm Criminology Symposium</w:t>
      </w:r>
      <w:r w:rsidRPr="00C35BCC">
        <w:rPr>
          <w:rFonts w:ascii="Arial" w:hAnsi="Arial" w:cs="Arial"/>
          <w:sz w:val="16"/>
          <w:szCs w:val="16"/>
          <w:lang w:val="en-US"/>
        </w:rPr>
        <w:t xml:space="preserve">. Stockholm, 15 - 17 </w:t>
      </w:r>
      <w:proofErr w:type="gramStart"/>
      <w:r w:rsidRPr="00C35BCC">
        <w:rPr>
          <w:rFonts w:ascii="Arial" w:hAnsi="Arial" w:cs="Arial"/>
          <w:sz w:val="16"/>
          <w:szCs w:val="16"/>
          <w:lang w:val="en-US"/>
        </w:rPr>
        <w:t>June,</w:t>
      </w:r>
      <w:proofErr w:type="gramEnd"/>
      <w:r w:rsidRPr="00C35BCC">
        <w:rPr>
          <w:rFonts w:ascii="Arial" w:hAnsi="Arial" w:cs="Arial"/>
          <w:sz w:val="16"/>
          <w:szCs w:val="16"/>
          <w:lang w:val="en-US"/>
        </w:rPr>
        <w:t xml:space="preserve"> 2006.</w:t>
      </w:r>
    </w:p>
  </w:footnote>
  <w:footnote w:id="3">
    <w:p w:rsidR="00E146DB" w:rsidRPr="00E146DB" w:rsidRDefault="00E146DB" w:rsidP="00E146DB">
      <w:pPr>
        <w:pStyle w:val="FootnoteText1"/>
        <w:jc w:val="both"/>
        <w:rPr>
          <w:rFonts w:ascii="Arial" w:hAnsi="Arial" w:cs="Arial"/>
          <w:i/>
          <w:sz w:val="16"/>
          <w:szCs w:val="16"/>
          <w:lang w:val="en-GB"/>
        </w:rPr>
      </w:pPr>
      <w:r w:rsidRPr="00C35BCC">
        <w:rPr>
          <w:rStyle w:val="FootnoteReference1"/>
          <w:rFonts w:ascii="Arial" w:hAnsi="Arial" w:cs="Arial"/>
          <w:sz w:val="16"/>
          <w:szCs w:val="16"/>
        </w:rPr>
        <w:footnoteRef/>
      </w:r>
      <w:r w:rsidRPr="00C35BCC">
        <w:rPr>
          <w:rFonts w:ascii="Arial" w:hAnsi="Arial" w:cs="Arial"/>
          <w:sz w:val="16"/>
          <w:szCs w:val="16"/>
          <w:lang w:val="en-US"/>
        </w:rPr>
        <w:t xml:space="preserve"> Brown, Ian and </w:t>
      </w:r>
      <w:proofErr w:type="spellStart"/>
      <w:r w:rsidRPr="00C35BCC">
        <w:rPr>
          <w:rFonts w:ascii="Arial" w:hAnsi="Arial" w:cs="Arial"/>
          <w:sz w:val="16"/>
          <w:szCs w:val="16"/>
          <w:lang w:val="en-US"/>
        </w:rPr>
        <w:t>Korff</w:t>
      </w:r>
      <w:proofErr w:type="spellEnd"/>
      <w:r w:rsidRPr="00C35BCC">
        <w:rPr>
          <w:rFonts w:ascii="Arial" w:hAnsi="Arial" w:cs="Arial"/>
          <w:sz w:val="16"/>
          <w:szCs w:val="16"/>
          <w:lang w:val="en-US"/>
        </w:rPr>
        <w:t xml:space="preserve">, </w:t>
      </w:r>
      <w:proofErr w:type="spellStart"/>
      <w:r w:rsidRPr="00C35BCC">
        <w:rPr>
          <w:rFonts w:ascii="Arial" w:hAnsi="Arial" w:cs="Arial"/>
          <w:sz w:val="16"/>
          <w:szCs w:val="16"/>
          <w:lang w:val="en-US"/>
        </w:rPr>
        <w:t>Douwe</w:t>
      </w:r>
      <w:proofErr w:type="spellEnd"/>
      <w:r w:rsidRPr="00C35BCC">
        <w:rPr>
          <w:rFonts w:ascii="Arial" w:hAnsi="Arial" w:cs="Arial"/>
          <w:sz w:val="16"/>
          <w:szCs w:val="16"/>
          <w:lang w:val="en-US"/>
        </w:rPr>
        <w:t xml:space="preserve">. “Terrorism and the Proportionality of Internet Surveillance”, </w:t>
      </w:r>
      <w:proofErr w:type="spellStart"/>
      <w:r w:rsidRPr="00C35BCC">
        <w:rPr>
          <w:rFonts w:ascii="Arial" w:hAnsi="Arial" w:cs="Arial"/>
          <w:sz w:val="16"/>
          <w:szCs w:val="16"/>
          <w:lang w:val="en-US"/>
        </w:rPr>
        <w:t>i</w:t>
      </w:r>
      <w:proofErr w:type="spellEnd"/>
      <w:r w:rsidRPr="00E146DB">
        <w:rPr>
          <w:rFonts w:ascii="Arial" w:hAnsi="Arial" w:cs="Arial"/>
          <w:sz w:val="16"/>
          <w:szCs w:val="16"/>
          <w:lang w:val="en-GB"/>
        </w:rPr>
        <w:t xml:space="preserve">n: </w:t>
      </w:r>
      <w:r w:rsidRPr="00E146DB">
        <w:rPr>
          <w:rFonts w:ascii="Arial" w:hAnsi="Arial" w:cs="Arial"/>
          <w:i/>
          <w:sz w:val="16"/>
          <w:szCs w:val="16"/>
          <w:lang w:val="en-GB"/>
        </w:rPr>
        <w:t>European</w:t>
      </w:r>
    </w:p>
    <w:p w:rsidR="00E146DB" w:rsidRPr="00C35BCC" w:rsidRDefault="00E146DB" w:rsidP="00E146DB">
      <w:pPr>
        <w:pStyle w:val="FootnoteText1"/>
        <w:jc w:val="both"/>
        <w:rPr>
          <w:rFonts w:ascii="Arial" w:eastAsia="Times New Roman" w:hAnsi="Arial" w:cs="Arial"/>
          <w:color w:val="auto"/>
          <w:sz w:val="16"/>
          <w:szCs w:val="16"/>
          <w:lang w:val="en-GB" w:eastAsia="en-GB" w:bidi="x-none"/>
        </w:rPr>
      </w:pPr>
      <w:r w:rsidRPr="00E146DB">
        <w:rPr>
          <w:rFonts w:ascii="Arial" w:hAnsi="Arial" w:cs="Arial"/>
          <w:i/>
          <w:sz w:val="16"/>
          <w:szCs w:val="16"/>
          <w:lang w:val="en-GB"/>
        </w:rPr>
        <w:t xml:space="preserve">   </w:t>
      </w:r>
      <w:r w:rsidRPr="00E146DB">
        <w:rPr>
          <w:rFonts w:ascii="Arial" w:hAnsi="Arial" w:cs="Arial"/>
          <w:i/>
          <w:sz w:val="16"/>
          <w:szCs w:val="16"/>
          <w:lang w:val="en-GB"/>
        </w:rPr>
        <w:t>Journal of Criminology</w:t>
      </w:r>
      <w:r w:rsidRPr="00E146DB">
        <w:rPr>
          <w:rFonts w:ascii="Arial" w:hAnsi="Arial" w:cs="Arial"/>
          <w:sz w:val="16"/>
          <w:szCs w:val="16"/>
          <w:lang w:val="en-GB"/>
        </w:rPr>
        <w:t>, vol. 6, no. 2. California: Sage, 2009, pp. 119-134.</w:t>
      </w:r>
    </w:p>
  </w:footnote>
  <w:footnote w:id="4">
    <w:p w:rsidR="00E146DB" w:rsidRPr="00E146DB" w:rsidRDefault="00E146DB" w:rsidP="00E146DB">
      <w:pPr>
        <w:pStyle w:val="FootnoteText1"/>
        <w:jc w:val="both"/>
        <w:rPr>
          <w:rFonts w:ascii="Arial" w:hAnsi="Arial" w:cs="Arial"/>
          <w:i/>
          <w:sz w:val="16"/>
          <w:szCs w:val="16"/>
          <w:lang w:val="en-GB"/>
        </w:rPr>
      </w:pPr>
      <w:r w:rsidRPr="00C35BCC">
        <w:rPr>
          <w:rStyle w:val="FootnoteReference1"/>
          <w:rFonts w:ascii="Arial" w:hAnsi="Arial" w:cs="Arial"/>
          <w:sz w:val="16"/>
          <w:szCs w:val="16"/>
        </w:rPr>
        <w:footnoteRef/>
      </w:r>
      <w:r w:rsidRPr="00E146DB">
        <w:rPr>
          <w:rFonts w:ascii="Arial" w:hAnsi="Arial" w:cs="Arial"/>
          <w:sz w:val="16"/>
          <w:szCs w:val="16"/>
          <w:lang w:val="en-GB"/>
        </w:rPr>
        <w:t xml:space="preserve"> </w:t>
      </w:r>
      <w:r w:rsidRPr="00E146DB">
        <w:rPr>
          <w:rFonts w:ascii="Arial" w:hAnsi="Arial" w:cs="Arial"/>
          <w:sz w:val="16"/>
          <w:szCs w:val="16"/>
          <w:lang w:val="en-GB"/>
        </w:rPr>
        <w:t xml:space="preserve">Getos, Anna Maria. “The Missing Dots in Terrorism Research: Violent Radicalisation”, in: </w:t>
      </w:r>
      <w:r w:rsidRPr="00E146DB">
        <w:rPr>
          <w:rFonts w:ascii="Arial" w:hAnsi="Arial" w:cs="Arial"/>
          <w:i/>
          <w:sz w:val="16"/>
          <w:szCs w:val="16"/>
          <w:lang w:val="en-GB"/>
        </w:rPr>
        <w:t xml:space="preserve">IX. Conference of </w:t>
      </w:r>
    </w:p>
    <w:p w:rsidR="00E146DB" w:rsidRPr="00C35BCC" w:rsidRDefault="00E146DB" w:rsidP="00E146DB">
      <w:pPr>
        <w:pStyle w:val="FootnoteText1"/>
        <w:jc w:val="both"/>
        <w:rPr>
          <w:rFonts w:ascii="Arial" w:hAnsi="Arial" w:cs="Arial"/>
          <w:i/>
          <w:sz w:val="16"/>
          <w:szCs w:val="16"/>
          <w:lang w:val="en-US"/>
        </w:rPr>
      </w:pPr>
      <w:r w:rsidRPr="00E146DB">
        <w:rPr>
          <w:rFonts w:ascii="Arial" w:hAnsi="Arial" w:cs="Arial"/>
          <w:i/>
          <w:sz w:val="16"/>
          <w:szCs w:val="16"/>
          <w:lang w:val="en-GB"/>
        </w:rPr>
        <w:t xml:space="preserve">   the European Society of Criminology: Criminology and Crime Policy </w:t>
      </w:r>
      <w:r w:rsidRPr="00C35BCC">
        <w:rPr>
          <w:rFonts w:ascii="Arial" w:hAnsi="Arial" w:cs="Arial"/>
          <w:i/>
          <w:sz w:val="16"/>
          <w:szCs w:val="16"/>
          <w:lang w:val="en-US"/>
        </w:rPr>
        <w:t xml:space="preserve">Between Human Rights and Effective </w:t>
      </w:r>
    </w:p>
    <w:p w:rsidR="00E146DB" w:rsidRPr="005311FF" w:rsidRDefault="00E146DB" w:rsidP="00E146DB">
      <w:pPr>
        <w:pStyle w:val="FootnoteText1"/>
        <w:jc w:val="both"/>
        <w:rPr>
          <w:rFonts w:ascii="Arial" w:eastAsia="Times New Roman" w:hAnsi="Arial" w:cs="Arial"/>
          <w:color w:val="auto"/>
          <w:sz w:val="16"/>
          <w:szCs w:val="16"/>
          <w:lang w:eastAsia="en-GB" w:bidi="x-none"/>
        </w:rPr>
      </w:pPr>
      <w:r w:rsidRPr="00C35BCC">
        <w:rPr>
          <w:rFonts w:ascii="Arial" w:hAnsi="Arial" w:cs="Arial"/>
          <w:i/>
          <w:sz w:val="16"/>
          <w:szCs w:val="16"/>
          <w:lang w:val="en-US"/>
        </w:rPr>
        <w:t xml:space="preserve">   </w:t>
      </w:r>
      <w:r w:rsidRPr="00C35BCC">
        <w:rPr>
          <w:rFonts w:ascii="Arial" w:hAnsi="Arial" w:cs="Arial"/>
          <w:i/>
          <w:sz w:val="16"/>
          <w:szCs w:val="16"/>
        </w:rPr>
        <w:t>Crime Control</w:t>
      </w:r>
      <w:r w:rsidRPr="00C35BCC">
        <w:rPr>
          <w:rFonts w:ascii="Arial" w:hAnsi="Arial" w:cs="Arial"/>
          <w:sz w:val="16"/>
          <w:szCs w:val="16"/>
        </w:rPr>
        <w:t xml:space="preserve">. </w:t>
      </w:r>
      <w:r w:rsidRPr="00C35BCC">
        <w:rPr>
          <w:rFonts w:ascii="Arial" w:hAnsi="Arial" w:cs="Arial"/>
          <w:sz w:val="16"/>
          <w:szCs w:val="16"/>
          <w:lang w:val="de-CH"/>
        </w:rPr>
        <w:t>Ljubliana: 9-12 September 2009.</w:t>
      </w:r>
    </w:p>
  </w:footnote>
  <w:footnote w:id="5">
    <w:p w:rsidR="00E146DB" w:rsidRPr="00C35BCC" w:rsidRDefault="00E146DB" w:rsidP="00E146DB">
      <w:pPr>
        <w:pStyle w:val="FootnoteText1"/>
        <w:jc w:val="both"/>
        <w:rPr>
          <w:rFonts w:ascii="Arial" w:hAnsi="Arial" w:cs="Arial"/>
          <w:sz w:val="16"/>
          <w:szCs w:val="16"/>
          <w:lang w:val="es-ES_tradnl"/>
        </w:rPr>
      </w:pPr>
      <w:r w:rsidRPr="00C35BCC">
        <w:rPr>
          <w:rStyle w:val="FootnoteReference1"/>
          <w:rFonts w:ascii="Arial" w:hAnsi="Arial" w:cs="Arial"/>
          <w:sz w:val="16"/>
          <w:szCs w:val="16"/>
        </w:rPr>
        <w:footnoteRef/>
      </w:r>
      <w:r w:rsidRPr="00C35BCC">
        <w:rPr>
          <w:rFonts w:ascii="Arial" w:hAnsi="Arial" w:cs="Arial"/>
          <w:sz w:val="16"/>
          <w:szCs w:val="16"/>
        </w:rPr>
        <w:t xml:space="preserve"> </w:t>
      </w:r>
      <w:r w:rsidRPr="00C35BCC">
        <w:rPr>
          <w:rFonts w:ascii="Arial" w:hAnsi="Arial" w:cs="Arial"/>
          <w:sz w:val="16"/>
          <w:szCs w:val="16"/>
        </w:rPr>
        <w:t xml:space="preserve">Paye, Jean-Claude. </w:t>
      </w:r>
      <w:r w:rsidRPr="00C35BCC">
        <w:rPr>
          <w:rFonts w:ascii="Arial" w:hAnsi="Arial" w:cs="Arial"/>
          <w:i/>
          <w:sz w:val="16"/>
          <w:szCs w:val="16"/>
        </w:rPr>
        <w:t>Das Ende des Rechtsstaats - Demokratie im Ausnahmezustand</w:t>
      </w:r>
      <w:r w:rsidRPr="00C35BCC">
        <w:rPr>
          <w:rFonts w:ascii="Arial" w:hAnsi="Arial" w:cs="Arial"/>
          <w:sz w:val="16"/>
          <w:szCs w:val="16"/>
        </w:rPr>
        <w:t xml:space="preserve">. </w:t>
      </w:r>
      <w:proofErr w:type="spellStart"/>
      <w:r w:rsidRPr="00C35BCC">
        <w:rPr>
          <w:rFonts w:ascii="Arial" w:hAnsi="Arial" w:cs="Arial"/>
          <w:sz w:val="16"/>
          <w:szCs w:val="16"/>
          <w:lang w:val="es-ES_tradnl"/>
        </w:rPr>
        <w:t>Zurich</w:t>
      </w:r>
      <w:proofErr w:type="spellEnd"/>
      <w:r w:rsidRPr="00C35BCC">
        <w:rPr>
          <w:rFonts w:ascii="Arial" w:hAnsi="Arial" w:cs="Arial"/>
          <w:sz w:val="16"/>
          <w:szCs w:val="16"/>
          <w:lang w:val="es-ES_tradnl"/>
        </w:rPr>
        <w:t>:</w:t>
      </w:r>
      <w:r w:rsidRPr="00C35BCC">
        <w:rPr>
          <w:rFonts w:ascii="Arial" w:hAnsi="Arial" w:cs="Arial"/>
          <w:sz w:val="16"/>
          <w:szCs w:val="16"/>
        </w:rPr>
        <w:t xml:space="preserve"> </w:t>
      </w:r>
      <w:proofErr w:type="spellStart"/>
      <w:r w:rsidRPr="00C35BCC">
        <w:rPr>
          <w:rFonts w:ascii="Arial" w:hAnsi="Arial" w:cs="Arial"/>
          <w:sz w:val="16"/>
          <w:szCs w:val="16"/>
          <w:lang w:val="es-ES_tradnl"/>
        </w:rPr>
        <w:t>Rotpunkt</w:t>
      </w:r>
      <w:proofErr w:type="spellEnd"/>
      <w:r w:rsidRPr="00C35BCC">
        <w:rPr>
          <w:rFonts w:ascii="Arial" w:hAnsi="Arial" w:cs="Arial"/>
          <w:sz w:val="16"/>
          <w:szCs w:val="16"/>
          <w:lang w:val="es-ES_tradnl"/>
        </w:rPr>
        <w:t xml:space="preserve">, </w:t>
      </w:r>
      <w:r w:rsidRPr="00C35BCC">
        <w:rPr>
          <w:rFonts w:ascii="Arial" w:hAnsi="Arial" w:cs="Arial"/>
          <w:sz w:val="16"/>
          <w:szCs w:val="16"/>
        </w:rPr>
        <w:t>2005,</w:t>
      </w:r>
      <w:r w:rsidRPr="00C35BCC">
        <w:rPr>
          <w:rFonts w:ascii="Arial" w:hAnsi="Arial" w:cs="Arial"/>
          <w:sz w:val="16"/>
          <w:szCs w:val="16"/>
          <w:lang w:val="es-ES_tradnl"/>
        </w:rPr>
        <w:t xml:space="preserve"> p. </w:t>
      </w:r>
    </w:p>
    <w:p w:rsidR="00E146DB" w:rsidRPr="00C35BCC" w:rsidRDefault="00E146DB" w:rsidP="00E146DB">
      <w:pPr>
        <w:pStyle w:val="FootnoteText1"/>
        <w:jc w:val="both"/>
        <w:rPr>
          <w:rFonts w:ascii="Arial" w:eastAsia="Times New Roman" w:hAnsi="Arial" w:cs="Arial"/>
          <w:color w:val="auto"/>
          <w:sz w:val="16"/>
          <w:szCs w:val="16"/>
          <w:lang w:val="en-GB" w:eastAsia="en-GB" w:bidi="x-none"/>
        </w:rPr>
      </w:pPr>
      <w:r w:rsidRPr="00C35BCC">
        <w:rPr>
          <w:rFonts w:ascii="Arial" w:hAnsi="Arial" w:cs="Arial"/>
          <w:sz w:val="16"/>
          <w:szCs w:val="16"/>
          <w:lang w:val="es-ES_tradnl"/>
        </w:rPr>
        <w:t xml:space="preserve">   235.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DB"/>
    <w:rsid w:val="0037643B"/>
    <w:rsid w:val="00571576"/>
    <w:rsid w:val="00E146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217D5-FC32-41D9-ACBF-A7FD62F7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6DB"/>
    <w:pPr>
      <w:spacing w:after="0" w:line="240" w:lineRule="auto"/>
    </w:pPr>
    <w:rPr>
      <w:rFonts w:ascii="Arial" w:eastAsia="Calibri" w:hAnsi="Arial" w:cs="Arial"/>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Reference1">
    <w:name w:val="Footnote Reference1"/>
    <w:rsid w:val="00E146DB"/>
    <w:rPr>
      <w:color w:val="000000"/>
      <w:sz w:val="22"/>
      <w:vertAlign w:val="superscript"/>
      <w:lang w:val="de-DE"/>
    </w:rPr>
  </w:style>
  <w:style w:type="paragraph" w:customStyle="1" w:styleId="FootnoteText1">
    <w:name w:val="Footnote Text1"/>
    <w:rsid w:val="00E146DB"/>
    <w:pPr>
      <w:spacing w:after="0" w:line="240" w:lineRule="auto"/>
    </w:pPr>
    <w:rPr>
      <w:rFonts w:ascii="Times New Roman" w:eastAsia="ヒラギノ角ゴ Pro W3" w:hAnsi="Times New Roman" w:cs="Times New Roman"/>
      <w:color w:val="000000"/>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Velásquez</dc:creator>
  <cp:keywords/>
  <dc:description/>
  <cp:lastModifiedBy>Carlos Velásquez</cp:lastModifiedBy>
  <cp:revision>2</cp:revision>
  <dcterms:created xsi:type="dcterms:W3CDTF">2017-10-02T11:29:00Z</dcterms:created>
  <dcterms:modified xsi:type="dcterms:W3CDTF">2017-10-02T11:30:00Z</dcterms:modified>
</cp:coreProperties>
</file>